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8EE35" w14:textId="5C01747B" w:rsidR="00920A75" w:rsidRPr="00920A75" w:rsidRDefault="00920A75" w:rsidP="00920A75">
      <w:pPr>
        <w:rPr>
          <w:b/>
          <w:bCs/>
          <w:color w:val="00B050"/>
          <w:sz w:val="38"/>
          <w:szCs w:val="38"/>
        </w:rPr>
      </w:pPr>
      <w:r w:rsidRPr="00920A75">
        <w:rPr>
          <w:b/>
          <w:bCs/>
          <w:color w:val="C00000"/>
          <w:sz w:val="38"/>
          <w:szCs w:val="38"/>
        </w:rPr>
        <w:t>What's new in emergency medicine</w:t>
      </w:r>
      <w:r w:rsidRPr="00920A75">
        <w:rPr>
          <w:b/>
          <w:bCs/>
          <w:color w:val="00B050"/>
          <w:sz w:val="38"/>
          <w:szCs w:val="38"/>
        </w:rPr>
        <w:t xml:space="preserve">   </w:t>
      </w:r>
      <w:r w:rsidRPr="007803C9">
        <w:rPr>
          <w:b/>
          <w:bCs/>
          <w:color w:val="00B050"/>
          <w:sz w:val="38"/>
          <w:szCs w:val="38"/>
        </w:rPr>
        <w:t>March 2025</w:t>
      </w:r>
    </w:p>
    <w:p w14:paraId="37375B52" w14:textId="77777777" w:rsidR="00920A75" w:rsidRPr="00920A75" w:rsidRDefault="00920A75" w:rsidP="00920A75"/>
    <w:p w14:paraId="72468EDC" w14:textId="77777777" w:rsidR="008C1300" w:rsidRPr="008C1300" w:rsidRDefault="008C1300" w:rsidP="008C1300">
      <w:pPr>
        <w:rPr>
          <w:b/>
          <w:bCs/>
        </w:rPr>
      </w:pPr>
      <w:r w:rsidRPr="008C1300">
        <w:rPr>
          <w:b/>
          <w:bCs/>
        </w:rPr>
        <w:t>GENERAL ADULT EMERGENCY MEDICINE</w:t>
      </w:r>
    </w:p>
    <w:p w14:paraId="17E37CD2" w14:textId="77777777" w:rsidR="008C1300" w:rsidRPr="008C1300" w:rsidRDefault="008C1300" w:rsidP="008C1300">
      <w:pPr>
        <w:rPr>
          <w:b/>
          <w:bCs/>
        </w:rPr>
      </w:pPr>
      <w:r w:rsidRPr="008C1300">
        <w:rPr>
          <w:b/>
          <w:bCs/>
        </w:rPr>
        <w:t>Society of Critical Care Medicine guidelines on critical care ultrasonography use (March 2025)</w:t>
      </w:r>
    </w:p>
    <w:p w14:paraId="0D38312D" w14:textId="77777777" w:rsidR="008C1300" w:rsidRPr="008C1300" w:rsidRDefault="008C1300" w:rsidP="008C1300">
      <w:pPr>
        <w:rPr>
          <w:b/>
          <w:bCs/>
        </w:rPr>
      </w:pPr>
      <w:r w:rsidRPr="008C1300">
        <w:t>The Society of Critical Care Medicine (SCCM) recently updated its guidelines on the use of bedside critical care ultrasonography (CCUS) [</w:t>
      </w:r>
      <w:hyperlink r:id="rId5" w:history="1">
        <w:r w:rsidRPr="008C1300">
          <w:t>9</w:t>
        </w:r>
      </w:hyperlink>
      <w:r w:rsidRPr="008C1300">
        <w:t>]. The SCCM conditionally recommended CCUS use in patients with septic shock, acute respiratory failure, and acute cardiogenic shock as well as in patients with unclear volume status. It was unable to make a clear recommendation for CCUS use in patients undergoing cardiopulmonary resuscitation. We agree with these recommendations.</w:t>
      </w:r>
      <w:r w:rsidRPr="008C1300">
        <w:rPr>
          <w:b/>
          <w:bCs/>
        </w:rPr>
        <w:t xml:space="preserve"> (See </w:t>
      </w:r>
      <w:hyperlink r:id="rId6" w:anchor="H13030268" w:history="1">
        <w:r w:rsidRPr="008C1300">
          <w:rPr>
            <w:rStyle w:val="Hyperlink"/>
            <w:b/>
            <w:bCs/>
          </w:rPr>
          <w:t>"Indications for bedside ultrasonography in the critically ill adult patient", section on 'Introduction'</w:t>
        </w:r>
      </w:hyperlink>
      <w:r w:rsidRPr="008C1300">
        <w:rPr>
          <w:b/>
          <w:bCs/>
        </w:rPr>
        <w:t>.)</w:t>
      </w:r>
    </w:p>
    <w:p w14:paraId="3FC33742" w14:textId="77777777" w:rsidR="008C1300" w:rsidRPr="008C1300" w:rsidRDefault="008C1300" w:rsidP="008C1300">
      <w:pPr>
        <w:rPr>
          <w:b/>
          <w:bCs/>
        </w:rPr>
      </w:pPr>
      <w:proofErr w:type="spellStart"/>
      <w:r w:rsidRPr="008C1300">
        <w:rPr>
          <w:b/>
          <w:bCs/>
        </w:rPr>
        <w:t>Suzetrigine</w:t>
      </w:r>
      <w:proofErr w:type="spellEnd"/>
      <w:r w:rsidRPr="008C1300">
        <w:rPr>
          <w:b/>
          <w:bCs/>
        </w:rPr>
        <w:t>, a first-in-class nonopioid analgesic, now available for acute pain (March 2025)</w:t>
      </w:r>
    </w:p>
    <w:p w14:paraId="3F2BA363" w14:textId="77777777" w:rsidR="008C1300" w:rsidRPr="008C1300" w:rsidRDefault="008C1300" w:rsidP="008C1300">
      <w:hyperlink r:id="rId7" w:history="1">
        <w:proofErr w:type="spellStart"/>
        <w:r w:rsidRPr="008C1300">
          <w:t>Suzetrigine</w:t>
        </w:r>
        <w:proofErr w:type="spellEnd"/>
      </w:hyperlink>
      <w:r w:rsidRPr="008C1300">
        <w:t xml:space="preserve">, a first-in-class nonopioid oral analgesic, has been approved by the US Food and Drug Administration for management of acute pain in adults and is now available. </w:t>
      </w:r>
      <w:proofErr w:type="spellStart"/>
      <w:r w:rsidRPr="008C1300">
        <w:t>Suzetrigine</w:t>
      </w:r>
      <w:proofErr w:type="spellEnd"/>
      <w:r w:rsidRPr="008C1300">
        <w:t xml:space="preserve"> is a selective inhibitor of the Nav 1.8 voltage-gated sodium channel, which is expressed in the dorsal root ganglia and is involved in transmission of nociceptive signals to the spinal cord. In randomized trials of 303 patients who had acute pain after abdominoplasty and 274 patients after bunionectomy, </w:t>
      </w:r>
      <w:proofErr w:type="spellStart"/>
      <w:r w:rsidRPr="008C1300">
        <w:t>suzetrigine</w:t>
      </w:r>
      <w:proofErr w:type="spellEnd"/>
      <w:r w:rsidRPr="008C1300">
        <w:t xml:space="preserve"> (100 mg orally followed by 50 mg orally every 12 hours) reduced pain scores compared with </w:t>
      </w:r>
      <w:hyperlink r:id="rId8" w:history="1">
        <w:r w:rsidRPr="008C1300">
          <w:t>hydrocodone</w:t>
        </w:r>
      </w:hyperlink>
      <w:r w:rsidRPr="008C1300">
        <w:t>/</w:t>
      </w:r>
      <w:hyperlink r:id="rId9" w:history="1">
        <w:r w:rsidRPr="008C1300">
          <w:t>acetaminophen</w:t>
        </w:r>
      </w:hyperlink>
      <w:r w:rsidRPr="008C1300">
        <w:t> (5 mg/325 mg orally every six hours) or placebo [</w:t>
      </w:r>
      <w:hyperlink r:id="rId10" w:history="1">
        <w:r w:rsidRPr="008C1300">
          <w:t>10</w:t>
        </w:r>
      </w:hyperlink>
      <w:r w:rsidRPr="008C1300">
        <w:t xml:space="preserve">]. Further study is required to determine the role of </w:t>
      </w:r>
      <w:proofErr w:type="spellStart"/>
      <w:r w:rsidRPr="008C1300">
        <w:t>suzetrigine</w:t>
      </w:r>
      <w:proofErr w:type="spellEnd"/>
      <w:r w:rsidRPr="008C1300">
        <w:t xml:space="preserve"> in acute pain management. (See </w:t>
      </w:r>
      <w:hyperlink r:id="rId11" w:anchor="H510493951" w:history="1">
        <w:r w:rsidRPr="008C1300">
          <w:rPr>
            <w:rStyle w:val="Hyperlink"/>
            <w:b/>
            <w:bCs/>
          </w:rPr>
          <w:t>"Nonopioid pharmacotherapy for acute pain in adults", section on '</w:t>
        </w:r>
        <w:proofErr w:type="spellStart"/>
        <w:r w:rsidRPr="008C1300">
          <w:rPr>
            <w:rStyle w:val="Hyperlink"/>
            <w:b/>
            <w:bCs/>
          </w:rPr>
          <w:t>Suzetrigine</w:t>
        </w:r>
        <w:proofErr w:type="spellEnd"/>
        <w:r w:rsidRPr="008C1300">
          <w:rPr>
            <w:rStyle w:val="Hyperlink"/>
            <w:b/>
            <w:bCs/>
          </w:rPr>
          <w:t>, a novel Nav1.8 inhibitor'</w:t>
        </w:r>
      </w:hyperlink>
      <w:r w:rsidRPr="008C1300">
        <w:rPr>
          <w:rStyle w:val="Hyperlink"/>
          <w:b/>
          <w:bCs/>
        </w:rPr>
        <w:t>.)</w:t>
      </w:r>
    </w:p>
    <w:p w14:paraId="080E4966" w14:textId="77777777" w:rsidR="00927734" w:rsidRPr="00927734" w:rsidRDefault="00927734" w:rsidP="00927734">
      <w:r w:rsidRPr="00927734">
        <w:rPr>
          <w:b/>
          <w:bCs/>
        </w:rPr>
        <w:t>TRAUMA</w:t>
      </w:r>
    </w:p>
    <w:p w14:paraId="27228D4C" w14:textId="77777777" w:rsidR="00927734" w:rsidRPr="00927734" w:rsidRDefault="00927734" w:rsidP="00927734">
      <w:r w:rsidRPr="00927734">
        <w:rPr>
          <w:b/>
          <w:bCs/>
        </w:rPr>
        <w:t>Fractures and child abuse in young children (March 2025)</w:t>
      </w:r>
    </w:p>
    <w:p w14:paraId="73935BC5" w14:textId="77777777" w:rsidR="00927734" w:rsidRPr="00927734" w:rsidRDefault="00927734" w:rsidP="00927734">
      <w:r w:rsidRPr="00927734">
        <w:t>The American Academy of Pediatrics has published a clinical report that provides guidance for the evaluation of fractures in young children [</w:t>
      </w:r>
      <w:hyperlink r:id="rId12" w:history="1">
        <w:r w:rsidRPr="00927734">
          <w:rPr>
            <w:rStyle w:val="Hyperlink"/>
          </w:rPr>
          <w:t>33</w:t>
        </w:r>
      </w:hyperlink>
      <w:r w:rsidRPr="00927734">
        <w:t>]. This report reaffirms the importance of a careful history and physical examination with special attention to the reported mechanism of injury, the developmental capability of the child, associated injuries on examination, and the specific type of fracture. A skeletal survey (</w:t>
      </w:r>
      <w:hyperlink r:id="rId13" w:history="1">
        <w:r w:rsidRPr="00927734">
          <w:rPr>
            <w:rStyle w:val="Hyperlink"/>
          </w:rPr>
          <w:t>table 1</w:t>
        </w:r>
      </w:hyperlink>
      <w:r w:rsidRPr="00927734">
        <w:t>), under the guidance of a pediatric radiologist or a multidisciplinary child abuse team led by a child abuse specialist, is indicated for children &lt;24 months old who have a fracture that is concerning for abuse (</w:t>
      </w:r>
      <w:hyperlink r:id="rId14" w:history="1">
        <w:r w:rsidRPr="00927734">
          <w:rPr>
            <w:rStyle w:val="Hyperlink"/>
          </w:rPr>
          <w:t>table 2</w:t>
        </w:r>
      </w:hyperlink>
      <w:r w:rsidRPr="00927734">
        <w:t>). (See </w:t>
      </w:r>
      <w:hyperlink r:id="rId15" w:anchor="H14" w:history="1">
        <w:r w:rsidRPr="00927734">
          <w:rPr>
            <w:rStyle w:val="Hyperlink"/>
          </w:rPr>
          <w:t>"Orthopedic aspects of child abuse", section on 'Overview'</w:t>
        </w:r>
      </w:hyperlink>
      <w:r w:rsidRPr="00927734">
        <w:t> and </w:t>
      </w:r>
      <w:hyperlink r:id="rId16" w:anchor="H706482265" w:history="1">
        <w:r w:rsidRPr="00927734">
          <w:rPr>
            <w:rStyle w:val="Hyperlink"/>
          </w:rPr>
          <w:t>"Physical child abuse: Recognition", section on 'Fractures'</w:t>
        </w:r>
      </w:hyperlink>
      <w:r w:rsidRPr="00927734">
        <w:t>.)</w:t>
      </w:r>
    </w:p>
    <w:p w14:paraId="58A5CDFD" w14:textId="77777777" w:rsidR="00927734" w:rsidRPr="00927734" w:rsidRDefault="00927734" w:rsidP="00927734">
      <w:pPr>
        <w:rPr>
          <w:b/>
          <w:bCs/>
        </w:rPr>
      </w:pPr>
      <w:r w:rsidRPr="00927734">
        <w:rPr>
          <w:b/>
          <w:bCs/>
        </w:rPr>
        <w:lastRenderedPageBreak/>
        <w:t>TOXICOLOGY</w:t>
      </w:r>
    </w:p>
    <w:p w14:paraId="6BDC461D" w14:textId="77777777" w:rsidR="00927734" w:rsidRPr="00927734" w:rsidRDefault="00927734" w:rsidP="00927734">
      <w:pPr>
        <w:rPr>
          <w:b/>
          <w:bCs/>
        </w:rPr>
      </w:pPr>
      <w:r w:rsidRPr="00927734">
        <w:rPr>
          <w:b/>
          <w:bCs/>
        </w:rPr>
        <w:t>Sibutramine and sildenafil found in weight loss supplements in France (March 2025)</w:t>
      </w:r>
    </w:p>
    <w:p w14:paraId="7C7AB341" w14:textId="77777777" w:rsidR="00927734" w:rsidRPr="00927734" w:rsidRDefault="00927734" w:rsidP="00927734">
      <w:pPr>
        <w:rPr>
          <w:b/>
          <w:bCs/>
        </w:rPr>
      </w:pPr>
      <w:r w:rsidRPr="00927734">
        <w:rPr>
          <w:b/>
          <w:bCs/>
        </w:rPr>
        <w:t>Weight loss supplements are commonly used worldwide and may contain active ingredients that can cause adverse effects. In 2023, 29 people from France reported using weight loss supplements that were analyzed and found to contain sibutramine and </w:t>
      </w:r>
      <w:hyperlink r:id="rId17" w:history="1">
        <w:r w:rsidRPr="00927734">
          <w:rPr>
            <w:rStyle w:val="Hyperlink"/>
            <w:b/>
            <w:bCs/>
          </w:rPr>
          <w:t>sildenafil</w:t>
        </w:r>
      </w:hyperlink>
      <w:r w:rsidRPr="00927734">
        <w:rPr>
          <w:b/>
          <w:bCs/>
        </w:rPr>
        <w:t> [</w:t>
      </w:r>
      <w:hyperlink r:id="rId18" w:history="1">
        <w:r w:rsidRPr="00927734">
          <w:rPr>
            <w:rStyle w:val="Hyperlink"/>
            <w:b/>
            <w:bCs/>
          </w:rPr>
          <w:t>29</w:t>
        </w:r>
      </w:hyperlink>
      <w:r w:rsidRPr="00927734">
        <w:rPr>
          <w:b/>
          <w:bCs/>
        </w:rPr>
        <w:t>]. Sibutramine is no longer available by prescription because it increases the risk of stroke and myocardial infarction. Many of the patients in this study reported anorexia, tachycardia, chest pain, increased blood pressure, headaches, and insomnia. These findings support our recommendation to counsel patients not to use weight loss dietary supplements since none are proven safe or effective, and they often contain potentially harmful adulterants. (See </w:t>
      </w:r>
      <w:hyperlink r:id="rId19" w:anchor="H768121917" w:history="1">
        <w:r w:rsidRPr="00927734">
          <w:rPr>
            <w:rStyle w:val="Hyperlink"/>
            <w:b/>
            <w:bCs/>
          </w:rPr>
          <w:t>"High-risk dietary supplements: Patient evaluation and counseling", section on 'Weight loss supplements'</w:t>
        </w:r>
      </w:hyperlink>
      <w:r w:rsidRPr="00927734">
        <w:rPr>
          <w:b/>
          <w:bCs/>
        </w:rPr>
        <w:t>.)</w:t>
      </w:r>
    </w:p>
    <w:p w14:paraId="0A3BB409" w14:textId="77777777" w:rsidR="00927734" w:rsidRPr="00927734" w:rsidRDefault="00927734" w:rsidP="00927734">
      <w:pPr>
        <w:rPr>
          <w:b/>
          <w:bCs/>
        </w:rPr>
      </w:pPr>
      <w:r w:rsidRPr="00927734">
        <w:rPr>
          <w:b/>
          <w:bCs/>
        </w:rPr>
        <w:t>Adult cannabis poisoning in states with medical and recreational cannabis laws (March 2025)</w:t>
      </w:r>
    </w:p>
    <w:p w14:paraId="2F7674A5" w14:textId="77777777" w:rsidR="00927734" w:rsidRPr="00927734" w:rsidRDefault="00927734" w:rsidP="00927734">
      <w:pPr>
        <w:rPr>
          <w:b/>
          <w:bCs/>
        </w:rPr>
      </w:pPr>
      <w:r w:rsidRPr="00927734">
        <w:rPr>
          <w:b/>
          <w:bCs/>
        </w:rPr>
        <w:t>States with medical and recreational cannabis laws have seen an increase in pediatric cannabis poisoning, but the impact of these laws on poisoning in adults is less clear. A study of an employer-sponsored United States health insurance claims database (over 110 million enrollees) from 2011 to 2021 found that adult patients in states with medical and recreational cannabis laws were associated with an increase of 89 and 32 percent, respectively, in cannabis poisoning diagnoses compared with states without these laws [</w:t>
      </w:r>
      <w:hyperlink r:id="rId20" w:history="1">
        <w:r w:rsidRPr="00927734">
          <w:rPr>
            <w:rStyle w:val="Hyperlink"/>
            <w:b/>
            <w:bCs/>
          </w:rPr>
          <w:t>30</w:t>
        </w:r>
      </w:hyperlink>
      <w:r w:rsidRPr="00927734">
        <w:rPr>
          <w:b/>
          <w:bCs/>
        </w:rPr>
        <w:t>]. These results suggest that cannabis legalization is also associated with an increase in adults poisoning, although likely to a lesser extent than pediatric poisoning. (See </w:t>
      </w:r>
      <w:hyperlink r:id="rId21" w:anchor="H455434631" w:history="1">
        <w:r w:rsidRPr="00927734">
          <w:rPr>
            <w:rStyle w:val="Hyperlink"/>
            <w:b/>
            <w:bCs/>
          </w:rPr>
          <w:t>"Cannabis (marijuana): Acute intoxication", section on 'Epidemiology'</w:t>
        </w:r>
      </w:hyperlink>
      <w:r w:rsidRPr="00927734">
        <w:rPr>
          <w:b/>
          <w:bCs/>
        </w:rPr>
        <w:t>.)</w:t>
      </w:r>
    </w:p>
    <w:p w14:paraId="6E659A55" w14:textId="77777777" w:rsidR="00927734" w:rsidRPr="00927734" w:rsidRDefault="00927734" w:rsidP="00927734">
      <w:pPr>
        <w:rPr>
          <w:b/>
          <w:bCs/>
        </w:rPr>
      </w:pPr>
      <w:r w:rsidRPr="00927734">
        <w:rPr>
          <w:b/>
          <w:bCs/>
        </w:rPr>
        <w:t>Endoscopic removal of retained packets in asymptomatic body packers (March 2025)</w:t>
      </w:r>
    </w:p>
    <w:p w14:paraId="4ADE9827" w14:textId="77777777" w:rsidR="00927734" w:rsidRPr="00927734" w:rsidRDefault="00927734" w:rsidP="00927734">
      <w:pPr>
        <w:rPr>
          <w:b/>
          <w:bCs/>
        </w:rPr>
      </w:pPr>
      <w:r w:rsidRPr="00927734">
        <w:rPr>
          <w:b/>
          <w:bCs/>
        </w:rPr>
        <w:t>In asymptomatic body packers, whole bowel irrigation (WBI) is the first-line treatment as it is safe and hastens packet removal; endoscopic packet removal is controversial because packet perforation can release dangerous amounts of drug. However, a study with 82 patients who underwent endoscopic removal of retained cocaine packets (all covered with a wax coating) found no evidence of packet rupture [</w:t>
      </w:r>
      <w:hyperlink r:id="rId22" w:history="1">
        <w:r w:rsidRPr="00927734">
          <w:rPr>
            <w:rStyle w:val="Hyperlink"/>
            <w:b/>
            <w:bCs/>
          </w:rPr>
          <w:t>31</w:t>
        </w:r>
      </w:hyperlink>
      <w:r w:rsidRPr="00927734">
        <w:rPr>
          <w:b/>
          <w:bCs/>
        </w:rPr>
        <w:t>]. Sophisticated modern packaging techniques (</w:t>
      </w:r>
      <w:proofErr w:type="spellStart"/>
      <w:r w:rsidRPr="00927734">
        <w:rPr>
          <w:b/>
          <w:bCs/>
        </w:rPr>
        <w:t>ie</w:t>
      </w:r>
      <w:proofErr w:type="spellEnd"/>
      <w:r w:rsidRPr="00927734">
        <w:rPr>
          <w:b/>
          <w:bCs/>
        </w:rPr>
        <w:t>, outside wax coating) and improved endoscopic techniques (</w:t>
      </w:r>
      <w:proofErr w:type="spellStart"/>
      <w:r w:rsidRPr="00927734">
        <w:rPr>
          <w:b/>
          <w:bCs/>
        </w:rPr>
        <w:t>ie</w:t>
      </w:r>
      <w:proofErr w:type="spellEnd"/>
      <w:r w:rsidRPr="00927734">
        <w:rPr>
          <w:b/>
          <w:bCs/>
        </w:rPr>
        <w:t>, basketing instead of snaring) likely mitigate the risk of packet perforation. Given these findings, we suggest endoscopic removal in asymptomatic patients who have a few retained packets following WBI or when WBI is otherwise contraindicated. (See </w:t>
      </w:r>
      <w:hyperlink r:id="rId23" w:anchor="H1754239267" w:history="1">
        <w:r w:rsidRPr="00927734">
          <w:rPr>
            <w:rStyle w:val="Hyperlink"/>
            <w:b/>
            <w:bCs/>
          </w:rPr>
          <w:t>"Internal concealment of drugs of abuse (body packing)", section on 'Role of endoscopic removal of packets'</w:t>
        </w:r>
      </w:hyperlink>
      <w:r w:rsidRPr="00927734">
        <w:rPr>
          <w:b/>
          <w:bCs/>
        </w:rPr>
        <w:t>.)</w:t>
      </w:r>
    </w:p>
    <w:p w14:paraId="3182A317" w14:textId="77777777" w:rsidR="00920A75" w:rsidRDefault="00920A75"/>
    <w:sectPr w:rsidR="00920A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8034B"/>
    <w:multiLevelType w:val="multilevel"/>
    <w:tmpl w:val="2506B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989961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A75"/>
    <w:rsid w:val="000B1565"/>
    <w:rsid w:val="00313F44"/>
    <w:rsid w:val="004B5628"/>
    <w:rsid w:val="00510CCB"/>
    <w:rsid w:val="008C1300"/>
    <w:rsid w:val="008D0060"/>
    <w:rsid w:val="00920A75"/>
    <w:rsid w:val="00927734"/>
    <w:rsid w:val="00E577A7"/>
    <w:rsid w:val="00F9048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4BC97"/>
  <w15:chartTrackingRefBased/>
  <w15:docId w15:val="{975923EE-2797-4E99-A9D1-594218C0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20A7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20A7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20A7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20A7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20A7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20A7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20A7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20A7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20A7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0A7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20A7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20A7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20A7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20A7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20A7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20A7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20A7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20A75"/>
    <w:rPr>
      <w:rFonts w:eastAsiaTheme="majorEastAsia" w:cstheme="majorBidi"/>
      <w:color w:val="272727" w:themeColor="text1" w:themeTint="D8"/>
    </w:rPr>
  </w:style>
  <w:style w:type="paragraph" w:styleId="Title">
    <w:name w:val="Title"/>
    <w:basedOn w:val="Normal"/>
    <w:next w:val="Normal"/>
    <w:link w:val="TitleChar"/>
    <w:uiPriority w:val="10"/>
    <w:qFormat/>
    <w:rsid w:val="00920A7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0A7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0A7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20A7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20A75"/>
    <w:pPr>
      <w:spacing w:before="160"/>
      <w:jc w:val="center"/>
    </w:pPr>
    <w:rPr>
      <w:i/>
      <w:iCs/>
      <w:color w:val="404040" w:themeColor="text1" w:themeTint="BF"/>
    </w:rPr>
  </w:style>
  <w:style w:type="character" w:customStyle="1" w:styleId="QuoteChar">
    <w:name w:val="Quote Char"/>
    <w:basedOn w:val="DefaultParagraphFont"/>
    <w:link w:val="Quote"/>
    <w:uiPriority w:val="29"/>
    <w:rsid w:val="00920A75"/>
    <w:rPr>
      <w:i/>
      <w:iCs/>
      <w:color w:val="404040" w:themeColor="text1" w:themeTint="BF"/>
    </w:rPr>
  </w:style>
  <w:style w:type="paragraph" w:styleId="ListParagraph">
    <w:name w:val="List Paragraph"/>
    <w:basedOn w:val="Normal"/>
    <w:uiPriority w:val="34"/>
    <w:qFormat/>
    <w:rsid w:val="00920A75"/>
    <w:pPr>
      <w:ind w:left="720"/>
      <w:contextualSpacing/>
    </w:pPr>
  </w:style>
  <w:style w:type="character" w:styleId="IntenseEmphasis">
    <w:name w:val="Intense Emphasis"/>
    <w:basedOn w:val="DefaultParagraphFont"/>
    <w:uiPriority w:val="21"/>
    <w:qFormat/>
    <w:rsid w:val="00920A75"/>
    <w:rPr>
      <w:i/>
      <w:iCs/>
      <w:color w:val="2F5496" w:themeColor="accent1" w:themeShade="BF"/>
    </w:rPr>
  </w:style>
  <w:style w:type="paragraph" w:styleId="IntenseQuote">
    <w:name w:val="Intense Quote"/>
    <w:basedOn w:val="Normal"/>
    <w:next w:val="Normal"/>
    <w:link w:val="IntenseQuoteChar"/>
    <w:uiPriority w:val="30"/>
    <w:qFormat/>
    <w:rsid w:val="00920A7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20A75"/>
    <w:rPr>
      <w:i/>
      <w:iCs/>
      <w:color w:val="2F5496" w:themeColor="accent1" w:themeShade="BF"/>
    </w:rPr>
  </w:style>
  <w:style w:type="character" w:styleId="IntenseReference">
    <w:name w:val="Intense Reference"/>
    <w:basedOn w:val="DefaultParagraphFont"/>
    <w:uiPriority w:val="32"/>
    <w:qFormat/>
    <w:rsid w:val="00920A75"/>
    <w:rPr>
      <w:b/>
      <w:bCs/>
      <w:smallCaps/>
      <w:color w:val="2F5496" w:themeColor="accent1" w:themeShade="BF"/>
      <w:spacing w:val="5"/>
    </w:rPr>
  </w:style>
  <w:style w:type="character" w:styleId="Hyperlink">
    <w:name w:val="Hyperlink"/>
    <w:basedOn w:val="DefaultParagraphFont"/>
    <w:uiPriority w:val="99"/>
    <w:unhideWhenUsed/>
    <w:rsid w:val="00920A75"/>
    <w:rPr>
      <w:color w:val="0563C1" w:themeColor="hyperlink"/>
      <w:u w:val="single"/>
    </w:rPr>
  </w:style>
  <w:style w:type="character" w:styleId="UnresolvedMention">
    <w:name w:val="Unresolved Mention"/>
    <w:basedOn w:val="DefaultParagraphFont"/>
    <w:uiPriority w:val="99"/>
    <w:semiHidden/>
    <w:unhideWhenUsed/>
    <w:rsid w:val="00920A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752326">
      <w:bodyDiv w:val="1"/>
      <w:marLeft w:val="0"/>
      <w:marRight w:val="0"/>
      <w:marTop w:val="0"/>
      <w:marBottom w:val="0"/>
      <w:divBdr>
        <w:top w:val="none" w:sz="0" w:space="0" w:color="auto"/>
        <w:left w:val="none" w:sz="0" w:space="0" w:color="auto"/>
        <w:bottom w:val="none" w:sz="0" w:space="0" w:color="auto"/>
        <w:right w:val="none" w:sz="0" w:space="0" w:color="auto"/>
      </w:divBdr>
    </w:div>
    <w:div w:id="280578222">
      <w:bodyDiv w:val="1"/>
      <w:marLeft w:val="0"/>
      <w:marRight w:val="0"/>
      <w:marTop w:val="0"/>
      <w:marBottom w:val="0"/>
      <w:divBdr>
        <w:top w:val="none" w:sz="0" w:space="0" w:color="auto"/>
        <w:left w:val="none" w:sz="0" w:space="0" w:color="auto"/>
        <w:bottom w:val="none" w:sz="0" w:space="0" w:color="auto"/>
        <w:right w:val="none" w:sz="0" w:space="0" w:color="auto"/>
      </w:divBdr>
    </w:div>
    <w:div w:id="650255622">
      <w:bodyDiv w:val="1"/>
      <w:marLeft w:val="0"/>
      <w:marRight w:val="0"/>
      <w:marTop w:val="0"/>
      <w:marBottom w:val="0"/>
      <w:divBdr>
        <w:top w:val="none" w:sz="0" w:space="0" w:color="auto"/>
        <w:left w:val="none" w:sz="0" w:space="0" w:color="auto"/>
        <w:bottom w:val="none" w:sz="0" w:space="0" w:color="auto"/>
        <w:right w:val="none" w:sz="0" w:space="0" w:color="auto"/>
      </w:divBdr>
    </w:div>
    <w:div w:id="663893969">
      <w:bodyDiv w:val="1"/>
      <w:marLeft w:val="0"/>
      <w:marRight w:val="0"/>
      <w:marTop w:val="0"/>
      <w:marBottom w:val="0"/>
      <w:divBdr>
        <w:top w:val="none" w:sz="0" w:space="0" w:color="auto"/>
        <w:left w:val="none" w:sz="0" w:space="0" w:color="auto"/>
        <w:bottom w:val="none" w:sz="0" w:space="0" w:color="auto"/>
        <w:right w:val="none" w:sz="0" w:space="0" w:color="auto"/>
      </w:divBdr>
    </w:div>
    <w:div w:id="762844214">
      <w:bodyDiv w:val="1"/>
      <w:marLeft w:val="0"/>
      <w:marRight w:val="0"/>
      <w:marTop w:val="0"/>
      <w:marBottom w:val="0"/>
      <w:divBdr>
        <w:top w:val="none" w:sz="0" w:space="0" w:color="auto"/>
        <w:left w:val="none" w:sz="0" w:space="0" w:color="auto"/>
        <w:bottom w:val="none" w:sz="0" w:space="0" w:color="auto"/>
        <w:right w:val="none" w:sz="0" w:space="0" w:color="auto"/>
      </w:divBdr>
      <w:divsChild>
        <w:div w:id="1341081648">
          <w:marLeft w:val="0"/>
          <w:marRight w:val="0"/>
          <w:marTop w:val="0"/>
          <w:marBottom w:val="0"/>
          <w:divBdr>
            <w:top w:val="none" w:sz="0" w:space="0" w:color="auto"/>
            <w:left w:val="none" w:sz="0" w:space="0" w:color="auto"/>
            <w:bottom w:val="single" w:sz="6" w:space="0" w:color="DADADA"/>
            <w:right w:val="none" w:sz="0" w:space="0" w:color="auto"/>
          </w:divBdr>
          <w:divsChild>
            <w:div w:id="1641106810">
              <w:marLeft w:val="0"/>
              <w:marRight w:val="3225"/>
              <w:marTop w:val="0"/>
              <w:marBottom w:val="0"/>
              <w:divBdr>
                <w:top w:val="none" w:sz="0" w:space="0" w:color="auto"/>
                <w:left w:val="none" w:sz="0" w:space="0" w:color="auto"/>
                <w:bottom w:val="none" w:sz="0" w:space="0" w:color="auto"/>
                <w:right w:val="none" w:sz="0" w:space="0" w:color="auto"/>
              </w:divBdr>
            </w:div>
          </w:divsChild>
        </w:div>
        <w:div w:id="1956329841">
          <w:marLeft w:val="0"/>
          <w:marRight w:val="0"/>
          <w:marTop w:val="0"/>
          <w:marBottom w:val="0"/>
          <w:divBdr>
            <w:top w:val="none" w:sz="0" w:space="0" w:color="auto"/>
            <w:left w:val="none" w:sz="0" w:space="0" w:color="auto"/>
            <w:bottom w:val="none" w:sz="0" w:space="0" w:color="auto"/>
            <w:right w:val="none" w:sz="0" w:space="0" w:color="auto"/>
          </w:divBdr>
        </w:div>
      </w:divsChild>
    </w:div>
    <w:div w:id="831025709">
      <w:bodyDiv w:val="1"/>
      <w:marLeft w:val="0"/>
      <w:marRight w:val="0"/>
      <w:marTop w:val="0"/>
      <w:marBottom w:val="0"/>
      <w:divBdr>
        <w:top w:val="none" w:sz="0" w:space="0" w:color="auto"/>
        <w:left w:val="none" w:sz="0" w:space="0" w:color="auto"/>
        <w:bottom w:val="none" w:sz="0" w:space="0" w:color="auto"/>
        <w:right w:val="none" w:sz="0" w:space="0" w:color="auto"/>
      </w:divBdr>
    </w:div>
    <w:div w:id="886142789">
      <w:bodyDiv w:val="1"/>
      <w:marLeft w:val="0"/>
      <w:marRight w:val="0"/>
      <w:marTop w:val="0"/>
      <w:marBottom w:val="0"/>
      <w:divBdr>
        <w:top w:val="none" w:sz="0" w:space="0" w:color="auto"/>
        <w:left w:val="none" w:sz="0" w:space="0" w:color="auto"/>
        <w:bottom w:val="none" w:sz="0" w:space="0" w:color="auto"/>
        <w:right w:val="none" w:sz="0" w:space="0" w:color="auto"/>
      </w:divBdr>
    </w:div>
    <w:div w:id="1033992143">
      <w:bodyDiv w:val="1"/>
      <w:marLeft w:val="0"/>
      <w:marRight w:val="0"/>
      <w:marTop w:val="0"/>
      <w:marBottom w:val="0"/>
      <w:divBdr>
        <w:top w:val="none" w:sz="0" w:space="0" w:color="auto"/>
        <w:left w:val="none" w:sz="0" w:space="0" w:color="auto"/>
        <w:bottom w:val="none" w:sz="0" w:space="0" w:color="auto"/>
        <w:right w:val="none" w:sz="0" w:space="0" w:color="auto"/>
      </w:divBdr>
    </w:div>
    <w:div w:id="1194609395">
      <w:bodyDiv w:val="1"/>
      <w:marLeft w:val="0"/>
      <w:marRight w:val="0"/>
      <w:marTop w:val="0"/>
      <w:marBottom w:val="0"/>
      <w:divBdr>
        <w:top w:val="none" w:sz="0" w:space="0" w:color="auto"/>
        <w:left w:val="none" w:sz="0" w:space="0" w:color="auto"/>
        <w:bottom w:val="none" w:sz="0" w:space="0" w:color="auto"/>
        <w:right w:val="none" w:sz="0" w:space="0" w:color="auto"/>
      </w:divBdr>
    </w:div>
    <w:div w:id="1318992587">
      <w:bodyDiv w:val="1"/>
      <w:marLeft w:val="0"/>
      <w:marRight w:val="0"/>
      <w:marTop w:val="0"/>
      <w:marBottom w:val="0"/>
      <w:divBdr>
        <w:top w:val="none" w:sz="0" w:space="0" w:color="auto"/>
        <w:left w:val="none" w:sz="0" w:space="0" w:color="auto"/>
        <w:bottom w:val="none" w:sz="0" w:space="0" w:color="auto"/>
        <w:right w:val="none" w:sz="0" w:space="0" w:color="auto"/>
      </w:divBdr>
      <w:divsChild>
        <w:div w:id="2136558317">
          <w:marLeft w:val="0"/>
          <w:marRight w:val="0"/>
          <w:marTop w:val="0"/>
          <w:marBottom w:val="0"/>
          <w:divBdr>
            <w:top w:val="none" w:sz="0" w:space="0" w:color="auto"/>
            <w:left w:val="none" w:sz="0" w:space="0" w:color="auto"/>
            <w:bottom w:val="single" w:sz="6" w:space="0" w:color="DADADA"/>
            <w:right w:val="none" w:sz="0" w:space="0" w:color="auto"/>
          </w:divBdr>
          <w:divsChild>
            <w:div w:id="1128283620">
              <w:marLeft w:val="0"/>
              <w:marRight w:val="3225"/>
              <w:marTop w:val="0"/>
              <w:marBottom w:val="0"/>
              <w:divBdr>
                <w:top w:val="none" w:sz="0" w:space="0" w:color="auto"/>
                <w:left w:val="none" w:sz="0" w:space="0" w:color="auto"/>
                <w:bottom w:val="none" w:sz="0" w:space="0" w:color="auto"/>
                <w:right w:val="none" w:sz="0" w:space="0" w:color="auto"/>
              </w:divBdr>
            </w:div>
          </w:divsChild>
        </w:div>
        <w:div w:id="1017923484">
          <w:marLeft w:val="0"/>
          <w:marRight w:val="0"/>
          <w:marTop w:val="0"/>
          <w:marBottom w:val="0"/>
          <w:divBdr>
            <w:top w:val="none" w:sz="0" w:space="0" w:color="auto"/>
            <w:left w:val="none" w:sz="0" w:space="0" w:color="auto"/>
            <w:bottom w:val="none" w:sz="0" w:space="0" w:color="auto"/>
            <w:right w:val="none" w:sz="0" w:space="0" w:color="auto"/>
          </w:divBdr>
        </w:div>
      </w:divsChild>
    </w:div>
    <w:div w:id="1841191404">
      <w:bodyDiv w:val="1"/>
      <w:marLeft w:val="0"/>
      <w:marRight w:val="0"/>
      <w:marTop w:val="0"/>
      <w:marBottom w:val="0"/>
      <w:divBdr>
        <w:top w:val="none" w:sz="0" w:space="0" w:color="auto"/>
        <w:left w:val="none" w:sz="0" w:space="0" w:color="auto"/>
        <w:bottom w:val="none" w:sz="0" w:space="0" w:color="auto"/>
        <w:right w:val="none" w:sz="0" w:space="0" w:color="auto"/>
      </w:divBdr>
    </w:div>
    <w:div w:id="1926766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4.utdos.ir/contents/hydrocodone-drug-information?topicRef=8365&amp;source=see_link" TargetMode="External"/><Relationship Id="rId13" Type="http://schemas.openxmlformats.org/officeDocument/2006/relationships/hyperlink" Target="https://www4.utdos.ir/contents/image?imageKey=EM%2F82510&amp;topicKey=EM%2F8365&amp;source=see_link" TargetMode="External"/><Relationship Id="rId18" Type="http://schemas.openxmlformats.org/officeDocument/2006/relationships/hyperlink" Target="https://www4.utdos.ir/contents/whats-new-in-emergency-medicine/abstract/29" TargetMode="External"/><Relationship Id="rId3" Type="http://schemas.openxmlformats.org/officeDocument/2006/relationships/settings" Target="settings.xml"/><Relationship Id="rId21" Type="http://schemas.openxmlformats.org/officeDocument/2006/relationships/hyperlink" Target="https://www4.utdos.ir/contents/cannabis-marijuana-acute-intoxication?sectionName=EPIDEMIOLOGY&amp;topicRef=8365&amp;anchor=H455434631&amp;source=see_link" TargetMode="External"/><Relationship Id="rId7" Type="http://schemas.openxmlformats.org/officeDocument/2006/relationships/hyperlink" Target="https://www4.utdos.ir/contents/suzetrigine-drug-information?topicRef=8365&amp;source=see_link" TargetMode="External"/><Relationship Id="rId12" Type="http://schemas.openxmlformats.org/officeDocument/2006/relationships/hyperlink" Target="https://www4.utdos.ir/contents/whats-new-in-emergency-medicine/abstract/33" TargetMode="External"/><Relationship Id="rId17" Type="http://schemas.openxmlformats.org/officeDocument/2006/relationships/hyperlink" Target="https://www4.utdos.ir/contents/sildenafil-drug-information?topicRef=8365&amp;source=see_link"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4.utdos.ir/contents/physical-child-abuse-recognition?sectionName=Fractures&amp;topicRef=8365&amp;anchor=H706482265&amp;source=see_link" TargetMode="External"/><Relationship Id="rId20" Type="http://schemas.openxmlformats.org/officeDocument/2006/relationships/hyperlink" Target="https://www4.utdos.ir/contents/whats-new-in-emergency-medicine/abstract/30" TargetMode="External"/><Relationship Id="rId1" Type="http://schemas.openxmlformats.org/officeDocument/2006/relationships/numbering" Target="numbering.xml"/><Relationship Id="rId6" Type="http://schemas.openxmlformats.org/officeDocument/2006/relationships/hyperlink" Target="https://www4.utdos.ir/contents/indications-for-bedside-ultrasonography-in-the-critically-ill-adult-patient?sectionName=INTRODUCTION&amp;topicRef=8365&amp;anchor=H13030268&amp;source=see_link" TargetMode="External"/><Relationship Id="rId11" Type="http://schemas.openxmlformats.org/officeDocument/2006/relationships/hyperlink" Target="https://www4.utdos.ir/contents/nonopioid-pharmacotherapy-for-acute-pain-in-adults?sectionName=Suzetrigine%2C%20a%20novel%20Nav1.8%20inhibitor&amp;topicRef=8365&amp;anchor=H510493951&amp;source=see_link" TargetMode="External"/><Relationship Id="rId24" Type="http://schemas.openxmlformats.org/officeDocument/2006/relationships/fontTable" Target="fontTable.xml"/><Relationship Id="rId5" Type="http://schemas.openxmlformats.org/officeDocument/2006/relationships/hyperlink" Target="https://www4.utdos.ir/contents/whats-new-in-emergency-medicine/abstract/9" TargetMode="External"/><Relationship Id="rId15" Type="http://schemas.openxmlformats.org/officeDocument/2006/relationships/hyperlink" Target="https://www4.utdos.ir/contents/orthopedic-aspects-of-child-abuse?sectionName=Overview&amp;topicRef=8365&amp;anchor=H14&amp;source=see_link" TargetMode="External"/><Relationship Id="rId23" Type="http://schemas.openxmlformats.org/officeDocument/2006/relationships/hyperlink" Target="https://www4.utdos.ir/contents/internal-concealment-of-drugs-of-abuse-body-packing?sectionName=Role%20of%20endoscopic%20removal%20of%20packets&amp;topicRef=8365&amp;anchor=H1754239267&amp;source=see_link" TargetMode="External"/><Relationship Id="rId10" Type="http://schemas.openxmlformats.org/officeDocument/2006/relationships/hyperlink" Target="https://www4.utdos.ir/contents/whats-new-in-emergency-medicine/abstract/10" TargetMode="External"/><Relationship Id="rId19" Type="http://schemas.openxmlformats.org/officeDocument/2006/relationships/hyperlink" Target="https://www4.utdos.ir/contents/high-risk-dietary-supplements-patient-evaluation-and-counseling?sectionName=WEIGHT%20LOSS%20SUPPLEMENTS&amp;topicRef=8365&amp;anchor=H768121917&amp;source=see_link" TargetMode="External"/><Relationship Id="rId4" Type="http://schemas.openxmlformats.org/officeDocument/2006/relationships/webSettings" Target="webSettings.xml"/><Relationship Id="rId9" Type="http://schemas.openxmlformats.org/officeDocument/2006/relationships/hyperlink" Target="https://www4.utdos.ir/contents/acetaminophen-paracetamol-drug-information?topicRef=8365&amp;source=see_link" TargetMode="External"/><Relationship Id="rId14" Type="http://schemas.openxmlformats.org/officeDocument/2006/relationships/hyperlink" Target="https://www4.utdos.ir/contents/image?imageKey=EM%2F109402&amp;topicKey=EM%2F8365&amp;source=see_link" TargetMode="External"/><Relationship Id="rId22" Type="http://schemas.openxmlformats.org/officeDocument/2006/relationships/hyperlink" Target="https://www4.utdos.ir/contents/whats-new-in-emergency-medicine/abstract/3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1171</Words>
  <Characters>6681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lib</dc:creator>
  <cp:keywords/>
  <dc:description/>
  <cp:lastModifiedBy>lib</cp:lastModifiedBy>
  <cp:revision>1</cp:revision>
  <dcterms:created xsi:type="dcterms:W3CDTF">2025-03-30T06:17:00Z</dcterms:created>
  <dcterms:modified xsi:type="dcterms:W3CDTF">2025-03-30T06:22:00Z</dcterms:modified>
</cp:coreProperties>
</file>